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EDDD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32"/>
          <w:szCs w:val="32"/>
          <w:lang w:eastAsia="ru-RU"/>
        </w:rPr>
        <w:t>Критерии оценки участников и проектов в рамках ежегодного курса обучения для НПО</w:t>
      </w:r>
    </w:p>
    <w:p w14:paraId="435B6F15">
      <w:pPr>
        <w:pStyle w:val="11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Критерии участия и активности в обучающем курсе </w:t>
      </w:r>
    </w:p>
    <w:p w14:paraId="57F9AA5F">
      <w:pPr>
        <w:pStyle w:val="11"/>
        <w:spacing w:before="100" w:beforeAutospacing="1" w:after="100" w:afterAutospacing="1" w:line="240" w:lineRule="auto"/>
        <w:ind w:left="1080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(максимум: 30 баллов)</w:t>
      </w:r>
    </w:p>
    <w:tbl>
      <w:tblPr>
        <w:tblStyle w:val="5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9"/>
        <w:gridCol w:w="6522"/>
        <w:gridCol w:w="831"/>
      </w:tblGrid>
      <w:tr w14:paraId="29634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vAlign w:val="center"/>
          </w:tcPr>
          <w:p w14:paraId="2009EF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vAlign w:val="center"/>
          </w:tcPr>
          <w:p w14:paraId="38331E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vAlign w:val="center"/>
          </w:tcPr>
          <w:p w14:paraId="1C2743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14:paraId="6A5EB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02D43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1. Посещаемость</w:t>
            </w:r>
          </w:p>
        </w:tc>
        <w:tc>
          <w:tcPr>
            <w:tcW w:w="0" w:type="auto"/>
            <w:vAlign w:val="center"/>
          </w:tcPr>
          <w:p w14:paraId="438FD7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Участие в не менее чем 80% всех мероприятий (семинары, тренинги, вебинары)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 офлайн формате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14:paraId="004B78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14:paraId="78666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FD63E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2. Активность на занятиях</w:t>
            </w:r>
          </w:p>
        </w:tc>
        <w:tc>
          <w:tcPr>
            <w:tcW w:w="0" w:type="auto"/>
            <w:vAlign w:val="center"/>
          </w:tcPr>
          <w:p w14:paraId="69327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Вопросы, участие в обсуждениях, выполнение заданий.</w:t>
            </w:r>
          </w:p>
        </w:tc>
        <w:tc>
          <w:tcPr>
            <w:tcW w:w="0" w:type="auto"/>
            <w:vAlign w:val="center"/>
          </w:tcPr>
          <w:p w14:paraId="506972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14:paraId="79B0B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B8D82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3. Вовлечённость организации</w:t>
            </w:r>
          </w:p>
        </w:tc>
        <w:tc>
          <w:tcPr>
            <w:tcW w:w="0" w:type="auto"/>
            <w:vAlign w:val="center"/>
          </w:tcPr>
          <w:p w14:paraId="4ED225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Систематическое участие более одного представителя от НПО.</w:t>
            </w:r>
          </w:p>
        </w:tc>
        <w:tc>
          <w:tcPr>
            <w:tcW w:w="0" w:type="auto"/>
            <w:vAlign w:val="center"/>
          </w:tcPr>
          <w:p w14:paraId="6F06F9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 5</w:t>
            </w:r>
          </w:p>
        </w:tc>
      </w:tr>
      <w:tr w14:paraId="24A49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BF809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4. Обратная связь</w:t>
            </w:r>
          </w:p>
        </w:tc>
        <w:tc>
          <w:tcPr>
            <w:tcW w:w="0" w:type="auto"/>
            <w:vAlign w:val="center"/>
          </w:tcPr>
          <w:p w14:paraId="457EFF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Заполненные анкеты, предоставленные отзывы по результатам мероприятий.</w:t>
            </w:r>
          </w:p>
        </w:tc>
        <w:tc>
          <w:tcPr>
            <w:tcW w:w="0" w:type="auto"/>
            <w:vAlign w:val="center"/>
          </w:tcPr>
          <w:p w14:paraId="341BAC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 5</w:t>
            </w:r>
          </w:p>
        </w:tc>
      </w:tr>
    </w:tbl>
    <w:p w14:paraId="2D38CA3B">
      <w:pPr>
        <w:pStyle w:val="11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Критерии оценки заявок на грант для реализации социального проекта </w:t>
      </w:r>
    </w:p>
    <w:p w14:paraId="28AE297A">
      <w:pPr>
        <w:pStyle w:val="11"/>
        <w:spacing w:before="100" w:beforeAutospacing="1" w:after="100" w:afterAutospacing="1" w:line="240" w:lineRule="auto"/>
        <w:ind w:left="1080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(максимум: 50 баллов)</w:t>
      </w:r>
    </w:p>
    <w:tbl>
      <w:tblPr>
        <w:tblStyle w:val="5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9"/>
        <w:gridCol w:w="5825"/>
        <w:gridCol w:w="831"/>
      </w:tblGrid>
      <w:tr w14:paraId="1E0B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2644" w:type="dxa"/>
            <w:vAlign w:val="center"/>
          </w:tcPr>
          <w:p w14:paraId="3C79EF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5795" w:type="dxa"/>
            <w:vAlign w:val="center"/>
          </w:tcPr>
          <w:p w14:paraId="2CE80A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vAlign w:val="center"/>
          </w:tcPr>
          <w:p w14:paraId="5CE025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14:paraId="415EA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44" w:type="dxa"/>
            <w:vAlign w:val="center"/>
          </w:tcPr>
          <w:p w14:paraId="428CA4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1. Социальная значимость</w:t>
            </w:r>
          </w:p>
        </w:tc>
        <w:tc>
          <w:tcPr>
            <w:tcW w:w="5795" w:type="dxa"/>
            <w:vAlign w:val="center"/>
          </w:tcPr>
          <w:p w14:paraId="28A05E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Проект направлен на решение конкретной актуальной проблемы в столице.</w:t>
            </w:r>
          </w:p>
        </w:tc>
        <w:tc>
          <w:tcPr>
            <w:tcW w:w="0" w:type="auto"/>
            <w:vAlign w:val="center"/>
          </w:tcPr>
          <w:p w14:paraId="2B539A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14:paraId="37138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44" w:type="dxa"/>
            <w:vAlign w:val="center"/>
          </w:tcPr>
          <w:p w14:paraId="66C61A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2. Четкость и реалистичность целей и задач</w:t>
            </w:r>
          </w:p>
        </w:tc>
        <w:tc>
          <w:tcPr>
            <w:tcW w:w="5795" w:type="dxa"/>
            <w:vAlign w:val="center"/>
          </w:tcPr>
          <w:p w14:paraId="590291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Цели SMART, логично выстроены, достижимы.</w:t>
            </w:r>
          </w:p>
        </w:tc>
        <w:tc>
          <w:tcPr>
            <w:tcW w:w="0" w:type="auto"/>
            <w:vAlign w:val="center"/>
          </w:tcPr>
          <w:p w14:paraId="52A5A0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14:paraId="49D3C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44" w:type="dxa"/>
            <w:vAlign w:val="center"/>
          </w:tcPr>
          <w:p w14:paraId="03622E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3. План реализации и бюджет</w:t>
            </w:r>
          </w:p>
        </w:tc>
        <w:tc>
          <w:tcPr>
            <w:tcW w:w="5795" w:type="dxa"/>
            <w:vAlign w:val="center"/>
          </w:tcPr>
          <w:p w14:paraId="68A83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Прозрачный, реалистичный и экономически обоснованный план с указанием этапов.</w:t>
            </w:r>
          </w:p>
        </w:tc>
        <w:tc>
          <w:tcPr>
            <w:tcW w:w="0" w:type="auto"/>
            <w:vAlign w:val="center"/>
          </w:tcPr>
          <w:p w14:paraId="186A87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14:paraId="24D4D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44" w:type="dxa"/>
            <w:vAlign w:val="center"/>
          </w:tcPr>
          <w:p w14:paraId="5C8C8E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4. Вовлечение целевой группы и партнёров</w:t>
            </w:r>
          </w:p>
        </w:tc>
        <w:tc>
          <w:tcPr>
            <w:tcW w:w="5795" w:type="dxa"/>
            <w:vAlign w:val="center"/>
          </w:tcPr>
          <w:p w14:paraId="17416C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Участие местных сообществ, других НПО, волонтёров, госструктур.</w:t>
            </w:r>
          </w:p>
        </w:tc>
        <w:tc>
          <w:tcPr>
            <w:tcW w:w="0" w:type="auto"/>
            <w:vAlign w:val="center"/>
          </w:tcPr>
          <w:p w14:paraId="43E78B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14:paraId="1559A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44" w:type="dxa"/>
            <w:vAlign w:val="center"/>
          </w:tcPr>
          <w:p w14:paraId="142A9A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5. Устойчивость и потенциальный эффект</w:t>
            </w:r>
          </w:p>
        </w:tc>
        <w:tc>
          <w:tcPr>
            <w:tcW w:w="5795" w:type="dxa"/>
            <w:vAlign w:val="center"/>
          </w:tcPr>
          <w:p w14:paraId="4177F1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Потенциал продолжения проекта или масштабирования.</w:t>
            </w:r>
          </w:p>
        </w:tc>
        <w:tc>
          <w:tcPr>
            <w:tcW w:w="0" w:type="auto"/>
            <w:vAlign w:val="center"/>
          </w:tcPr>
          <w:p w14:paraId="316F49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</w:tbl>
    <w:p w14:paraId="70CD656C">
      <w:pPr>
        <w:spacing w:before="100" w:beforeAutospacing="1" w:after="100" w:afterAutospacing="1" w:line="240" w:lineRule="auto"/>
        <w:ind w:firstLine="426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III.       Критерии оценки реализации грантового проекта (мониторинг)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(максимум: 20 баллов)</w:t>
      </w:r>
    </w:p>
    <w:tbl>
      <w:tblPr>
        <w:tblStyle w:val="5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9"/>
        <w:gridCol w:w="5825"/>
        <w:gridCol w:w="831"/>
      </w:tblGrid>
      <w:tr w14:paraId="55EB7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2644" w:type="dxa"/>
            <w:vAlign w:val="center"/>
          </w:tcPr>
          <w:p w14:paraId="12B8CF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5795" w:type="dxa"/>
            <w:vAlign w:val="center"/>
          </w:tcPr>
          <w:p w14:paraId="570037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vAlign w:val="center"/>
          </w:tcPr>
          <w:p w14:paraId="3E622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14:paraId="15BFA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44" w:type="dxa"/>
            <w:vAlign w:val="center"/>
          </w:tcPr>
          <w:p w14:paraId="44CBF0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1. Соблюдение графика</w:t>
            </w:r>
          </w:p>
        </w:tc>
        <w:tc>
          <w:tcPr>
            <w:tcW w:w="5795" w:type="dxa"/>
            <w:vAlign w:val="center"/>
          </w:tcPr>
          <w:p w14:paraId="5ED6DD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Выполнение этапов проекта согласно заявленному плану.</w:t>
            </w:r>
          </w:p>
        </w:tc>
        <w:tc>
          <w:tcPr>
            <w:tcW w:w="0" w:type="auto"/>
            <w:vAlign w:val="center"/>
          </w:tcPr>
          <w:p w14:paraId="73FB96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 5</w:t>
            </w:r>
          </w:p>
        </w:tc>
      </w:tr>
      <w:tr w14:paraId="3FAAD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44" w:type="dxa"/>
            <w:vAlign w:val="center"/>
          </w:tcPr>
          <w:p w14:paraId="7517CC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2. Эффективность использования гранта</w:t>
            </w:r>
          </w:p>
        </w:tc>
        <w:tc>
          <w:tcPr>
            <w:tcW w:w="5795" w:type="dxa"/>
            <w:vAlign w:val="center"/>
          </w:tcPr>
          <w:p w14:paraId="2D045F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Целевое, обоснованное и прозрачное расходование средств.</w:t>
            </w:r>
          </w:p>
        </w:tc>
        <w:tc>
          <w:tcPr>
            <w:tcW w:w="0" w:type="auto"/>
            <w:vAlign w:val="center"/>
          </w:tcPr>
          <w:p w14:paraId="1BDE71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 5</w:t>
            </w:r>
          </w:p>
        </w:tc>
      </w:tr>
      <w:tr w14:paraId="07C4F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44" w:type="dxa"/>
            <w:vAlign w:val="center"/>
          </w:tcPr>
          <w:p w14:paraId="18FB3F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3. Результаты и обратная связь</w:t>
            </w:r>
          </w:p>
        </w:tc>
        <w:tc>
          <w:tcPr>
            <w:tcW w:w="5795" w:type="dxa"/>
            <w:vAlign w:val="center"/>
          </w:tcPr>
          <w:p w14:paraId="79BD48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Достижение запланированных результатов, отчётность, отзывы участников.</w:t>
            </w:r>
          </w:p>
        </w:tc>
        <w:tc>
          <w:tcPr>
            <w:tcW w:w="0" w:type="auto"/>
            <w:vAlign w:val="center"/>
          </w:tcPr>
          <w:p w14:paraId="6D91A7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 5</w:t>
            </w:r>
          </w:p>
        </w:tc>
      </w:tr>
      <w:tr w14:paraId="31D32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44" w:type="dxa"/>
            <w:vAlign w:val="center"/>
          </w:tcPr>
          <w:p w14:paraId="2986D9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4. Видимость и продвижение проекта</w:t>
            </w:r>
          </w:p>
        </w:tc>
        <w:tc>
          <w:tcPr>
            <w:tcW w:w="5795" w:type="dxa"/>
            <w:vAlign w:val="center"/>
          </w:tcPr>
          <w:p w14:paraId="356346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Использование СМИ, соцсетей, PR-материалов.</w:t>
            </w:r>
          </w:p>
        </w:tc>
        <w:tc>
          <w:tcPr>
            <w:tcW w:w="0" w:type="auto"/>
            <w:vAlign w:val="center"/>
          </w:tcPr>
          <w:p w14:paraId="3CA570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 5</w:t>
            </w:r>
          </w:p>
        </w:tc>
      </w:tr>
    </w:tbl>
    <w:p w14:paraId="4C79F464">
      <w:pPr>
        <w:pStyle w:val="11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Критерии участия в финальном воркшопе / хакатоне </w:t>
      </w:r>
    </w:p>
    <w:p w14:paraId="5F901428">
      <w:pPr>
        <w:pStyle w:val="11"/>
        <w:spacing w:before="100" w:beforeAutospacing="1" w:after="100" w:afterAutospacing="1" w:line="240" w:lineRule="auto"/>
        <w:ind w:left="1080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(качественные критерии, внебалльная оценка)</w:t>
      </w:r>
    </w:p>
    <w:tbl>
      <w:tblPr>
        <w:tblStyle w:val="5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9"/>
        <w:gridCol w:w="6656"/>
      </w:tblGrid>
      <w:tr w14:paraId="0924C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2644" w:type="dxa"/>
            <w:vAlign w:val="center"/>
          </w:tcPr>
          <w:p w14:paraId="356225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611" w:type="dxa"/>
            <w:vAlign w:val="center"/>
          </w:tcPr>
          <w:p w14:paraId="113A6A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14:paraId="1CBAD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44" w:type="dxa"/>
            <w:vAlign w:val="center"/>
          </w:tcPr>
          <w:p w14:paraId="62BBF9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1. Готовность к обмену опытом</w:t>
            </w:r>
          </w:p>
        </w:tc>
        <w:tc>
          <w:tcPr>
            <w:tcW w:w="6611" w:type="dxa"/>
            <w:vAlign w:val="center"/>
          </w:tcPr>
          <w:p w14:paraId="605AF6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Демонстрация проекта, выступление, участие в панельных сессиях.</w:t>
            </w:r>
          </w:p>
        </w:tc>
      </w:tr>
      <w:tr w14:paraId="6187B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44" w:type="dxa"/>
            <w:vAlign w:val="center"/>
          </w:tcPr>
          <w:p w14:paraId="46608F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2. Командная работа и коллаборация</w:t>
            </w:r>
          </w:p>
        </w:tc>
        <w:tc>
          <w:tcPr>
            <w:tcW w:w="6611" w:type="dxa"/>
            <w:vAlign w:val="center"/>
          </w:tcPr>
          <w:p w14:paraId="017787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Сотрудничество с другими НПО и государственными структурами.</w:t>
            </w:r>
          </w:p>
        </w:tc>
      </w:tr>
      <w:tr w14:paraId="40E4D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44" w:type="dxa"/>
            <w:vAlign w:val="center"/>
          </w:tcPr>
          <w:p w14:paraId="2D83D7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3. Инновационность решений</w:t>
            </w:r>
          </w:p>
        </w:tc>
        <w:tc>
          <w:tcPr>
            <w:tcW w:w="6611" w:type="dxa"/>
            <w:vAlign w:val="center"/>
          </w:tcPr>
          <w:p w14:paraId="35E22C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Новые подходы, представленные на воркшопе/хакатоне.</w:t>
            </w:r>
          </w:p>
        </w:tc>
      </w:tr>
      <w:tr w14:paraId="733E2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44" w:type="dxa"/>
            <w:vAlign w:val="center"/>
          </w:tcPr>
          <w:p w14:paraId="254EDB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4. Открытость к доработке и масштабированию</w:t>
            </w:r>
          </w:p>
        </w:tc>
        <w:tc>
          <w:tcPr>
            <w:tcW w:w="6611" w:type="dxa"/>
            <w:vAlign w:val="center"/>
          </w:tcPr>
          <w:p w14:paraId="5D4320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Гибкость проекта, принятие обратной связи.</w:t>
            </w:r>
          </w:p>
        </w:tc>
      </w:tr>
    </w:tbl>
    <w:p w14:paraId="55DD6F2A"/>
    <w:sectPr>
      <w:pgSz w:w="11906" w:h="16838"/>
      <w:pgMar w:top="1134" w:right="850" w:bottom="85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A1D8B"/>
    <w:multiLevelType w:val="multilevel"/>
    <w:tmpl w:val="068A1D8B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D6FB6"/>
    <w:multiLevelType w:val="multilevel"/>
    <w:tmpl w:val="6EDD6FB6"/>
    <w:lvl w:ilvl="0" w:tentative="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03"/>
    <w:rsid w:val="006F60A6"/>
    <w:rsid w:val="008E26ED"/>
    <w:rsid w:val="00B01169"/>
    <w:rsid w:val="00DE0C4E"/>
    <w:rsid w:val="00FE0303"/>
    <w:rsid w:val="44BC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link w:val="1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Заголовок 1 Знак"/>
    <w:basedOn w:val="4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0">
    <w:name w:val="Заголовок 2 Знак"/>
    <w:basedOn w:val="4"/>
    <w:link w:val="3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320</Words>
  <Characters>1828</Characters>
  <Lines>15</Lines>
  <Paragraphs>4</Paragraphs>
  <TotalTime>32</TotalTime>
  <ScaleCrop>false</ScaleCrop>
  <LinksUpToDate>false</LinksUpToDate>
  <CharactersWithSpaces>2144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2025-07-24T05:43:00Z</dcterms:created>
  <dc:creator>Антон Ленчук</dc:creator>
  <cp:lastModifiedBy>Антонина</cp:lastModifiedBy>
  <cp:lastPrinted>2025-07-24T09:41:00Z</cp:lastPrinted>
  <dcterms:modified xsi:type="dcterms:W3CDTF">2025-08-11T00:40:23Z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894019235FC64999B541C00376187A89_12</vt:lpwstr>
  </property>
</Properties>
</file>